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EDCBC" w14:textId="41EB02AD" w:rsidR="004B34D5" w:rsidRPr="00444F5F" w:rsidRDefault="004B34D5" w:rsidP="00BF14B8">
      <w:pPr>
        <w:pStyle w:val="NormalWeb"/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Material</w:t>
      </w:r>
      <w:r w:rsidR="00D51745">
        <w:rPr>
          <w:rFonts w:asciiTheme="minorHAnsi" w:hAnsiTheme="minorHAnsi" w:cstheme="minorHAnsi"/>
          <w:b/>
          <w:sz w:val="22"/>
          <w:szCs w:val="22"/>
        </w:rPr>
        <w:t xml:space="preserve"> Recomendado</w:t>
      </w:r>
      <w:r w:rsidRPr="00444F5F">
        <w:rPr>
          <w:rFonts w:asciiTheme="minorHAnsi" w:hAnsiTheme="minorHAnsi" w:cstheme="minorHAnsi"/>
          <w:b/>
          <w:sz w:val="22"/>
          <w:szCs w:val="22"/>
        </w:rPr>
        <w:t xml:space="preserve"> de lectura:</w:t>
      </w:r>
    </w:p>
    <w:p w14:paraId="47871760" w14:textId="77777777" w:rsidR="005B7792" w:rsidRPr="00444F5F" w:rsidRDefault="005B7792" w:rsidP="00444F5F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Normas Legales:</w:t>
      </w:r>
    </w:p>
    <w:p w14:paraId="24989A1D" w14:textId="77777777" w:rsidR="005A3D92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Texto Único Ordenado de la Ley de Contrataciones del Estado. </w:t>
      </w:r>
    </w:p>
    <w:p w14:paraId="0D5D1504" w14:textId="77777777" w:rsidR="005A3D92" w:rsidRDefault="00D51745" w:rsidP="00BF14B8">
      <w:pPr>
        <w:pStyle w:val="NormalWeb"/>
        <w:spacing w:before="0" w:beforeAutospacing="0"/>
        <w:ind w:left="450"/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5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https://portal.osce.gob.pe/osce/content/ley-de-contrataciones-del-estado-y-reglamento</w:t>
        </w:r>
      </w:hyperlink>
    </w:p>
    <w:p w14:paraId="46FC030F" w14:textId="77777777" w:rsidR="005A3D92" w:rsidRDefault="004B34D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Reglamento de la Ley de contrataciones del Estado y sus</w:t>
      </w:r>
      <w:r w:rsidR="005A3D92">
        <w:rPr>
          <w:rFonts w:asciiTheme="minorHAnsi" w:hAnsiTheme="minorHAnsi" w:cstheme="minorHAnsi"/>
          <w:sz w:val="22"/>
          <w:szCs w:val="22"/>
        </w:rPr>
        <w:t xml:space="preserve"> </w:t>
      </w:r>
      <w:r w:rsidRPr="00444F5F">
        <w:rPr>
          <w:rFonts w:asciiTheme="minorHAnsi" w:hAnsiTheme="minorHAnsi" w:cstheme="minorHAnsi"/>
          <w:sz w:val="22"/>
          <w:szCs w:val="22"/>
        </w:rPr>
        <w:t>modificatorias. </w:t>
      </w:r>
    </w:p>
    <w:p w14:paraId="4D0E30AA" w14:textId="77777777" w:rsidR="005B7792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6" w:history="1">
        <w:r w:rsidR="004B34D5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https://portal.osce.gob.pe/osce/content/ley-de-contrataciones-del-estado-y-reglamento</w:t>
        </w:r>
      </w:hyperlink>
      <w:r w:rsidR="00BF14B8" w:rsidRPr="00444F5F">
        <w:rPr>
          <w:rFonts w:asciiTheme="minorHAnsi" w:hAnsiTheme="minorHAnsi" w:cstheme="minorHAnsi"/>
          <w:sz w:val="22"/>
          <w:szCs w:val="22"/>
        </w:rPr>
        <w:br/>
      </w:r>
    </w:p>
    <w:p w14:paraId="346DB7E9" w14:textId="77777777" w:rsidR="005B7792" w:rsidRPr="00444F5F" w:rsidRDefault="005B7792" w:rsidP="00444F5F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Otros documentos de lectura:</w:t>
      </w:r>
      <w:r w:rsidR="00444F5F">
        <w:rPr>
          <w:rFonts w:asciiTheme="minorHAnsi" w:hAnsiTheme="minorHAnsi" w:cstheme="minorHAnsi"/>
          <w:b/>
          <w:sz w:val="22"/>
          <w:szCs w:val="22"/>
        </w:rPr>
        <w:t xml:space="preserve"> Directivas y Opiniones OSCE</w:t>
      </w:r>
    </w:p>
    <w:p w14:paraId="70352A6D" w14:textId="77777777" w:rsidR="00BF14B8" w:rsidRPr="00444F5F" w:rsidRDefault="00BF14B8" w:rsidP="005B7792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Requisitos para perfeccionar el contrato.</w:t>
      </w:r>
    </w:p>
    <w:p w14:paraId="42A98E0F" w14:textId="77777777" w:rsidR="005B7792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Empresas clasificadoras de</w:t>
      </w:r>
      <w:r w:rsidR="005B7792" w:rsidRPr="00444F5F">
        <w:rPr>
          <w:rFonts w:asciiTheme="minorHAnsi" w:hAnsiTheme="minorHAnsi" w:cstheme="minorHAnsi"/>
          <w:sz w:val="22"/>
          <w:szCs w:val="22"/>
        </w:rPr>
        <w:t xml:space="preserve"> </w:t>
      </w:r>
      <w:r w:rsidRPr="00444F5F">
        <w:rPr>
          <w:rFonts w:asciiTheme="minorHAnsi" w:hAnsiTheme="minorHAnsi" w:cstheme="minorHAnsi"/>
          <w:sz w:val="22"/>
          <w:szCs w:val="22"/>
        </w:rPr>
        <w:t>riesgos: </w:t>
      </w:r>
    </w:p>
    <w:p w14:paraId="7DBBB607" w14:textId="77777777" w:rsidR="00BF14B8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7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https://www.sbs.gob.pe/supervisados-y-registros/registros/otros-registros/empresas-clasificadoras-de-riesgo</w:t>
        </w:r>
      </w:hyperlink>
    </w:p>
    <w:p w14:paraId="25432FEB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Empresas autorizadas a emitir cartas fianza. </w:t>
      </w:r>
    </w:p>
    <w:p w14:paraId="1D920A23" w14:textId="77777777" w:rsidR="005B7792" w:rsidRPr="00444F5F" w:rsidRDefault="00D51745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8" w:history="1">
        <w:r w:rsidR="005B7792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https://www.sbs.gob.pe/supervisados-y-registros/empresas-supervisadas/informacion-sobre-supervisadas/sistema-financiero-supervisadas/relacion-de-empresas-que-se-encuentran-autorizadas-a-emitir-cartas-fianza</w:t>
        </w:r>
      </w:hyperlink>
      <w:r w:rsidR="005B7792" w:rsidRPr="00444F5F">
        <w:rPr>
          <w:rFonts w:asciiTheme="minorHAnsi" w:hAnsiTheme="minorHAnsi" w:cstheme="minorHAnsi"/>
          <w:sz w:val="22"/>
          <w:szCs w:val="22"/>
        </w:rPr>
        <w:br/>
      </w:r>
    </w:p>
    <w:p w14:paraId="069BAA4C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Circular No. 0013-2020-BCRP: Lista de bancos de primera categoría. </w:t>
      </w:r>
    </w:p>
    <w:p w14:paraId="1CE0E753" w14:textId="77777777" w:rsidR="005B7792" w:rsidRPr="00444F5F" w:rsidRDefault="00D51745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9" w:history="1">
        <w:r w:rsidR="005B7792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https://www.bcrp.gob.pe/docs/Transparencia/Normas-Legales/Circulares/2020/circular-0013-2020-bcrp.pdf</w:t>
        </w:r>
      </w:hyperlink>
    </w:p>
    <w:p w14:paraId="7B171A17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Directiva N° 003-2019-OSCE/CD - Lineamientos para la aplicación de la garantía de fiel cumplimiento por prestaciones accesorias, aprobada mediante Resolución N° 015-2019-OSCE/PRE. </w:t>
      </w:r>
    </w:p>
    <w:p w14:paraId="4050D460" w14:textId="77777777" w:rsidR="005B7792" w:rsidRPr="00444F5F" w:rsidRDefault="00D51745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5B7792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https://portal.osce.gob.pe/osce/sites/default/files/Documentos/legislacion/Legislacion%20y%20Documentos%20Elaborados%20por%20el%20OSCE/Directivas_2019/DIRECTIVA_03-2019-OSCE.CD_Garantia%20Prestaciones%20Accesorias.pdf</w:t>
        </w:r>
      </w:hyperlink>
      <w:r w:rsidR="005B7792" w:rsidRPr="00444F5F">
        <w:rPr>
          <w:rFonts w:asciiTheme="minorHAnsi" w:hAnsiTheme="minorHAnsi" w:cstheme="minorHAnsi"/>
          <w:sz w:val="22"/>
          <w:szCs w:val="22"/>
        </w:rPr>
        <w:br/>
      </w:r>
    </w:p>
    <w:p w14:paraId="77F02FA1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021-2020/DTN: vigencia del contrato (vencimiento de la garantía de fiel cumplimiento antes de que la entidad otorgue la conformidad). </w:t>
      </w:r>
    </w:p>
    <w:p w14:paraId="54601BA3" w14:textId="77777777" w:rsidR="005B7792" w:rsidRPr="00444F5F" w:rsidRDefault="00D51745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5B7792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https://portal.osce.gob.pe/osce/sites/default/files/Documentos/legislacion/Legislacion%20y%20Documentos%20Elaborados%20por%20el%20OSCE/Opiniones_2020/021-20%20-%20Exp.%205381%20TD%20%20-%20Ej%C3%A9rcito%20del%20Per%C3%BA.docx</w:t>
        </w:r>
      </w:hyperlink>
    </w:p>
    <w:p w14:paraId="061128A4" w14:textId="77777777" w:rsidR="005B7792" w:rsidRPr="00444F5F" w:rsidRDefault="005B7792" w:rsidP="00444F5F">
      <w:pPr>
        <w:pStyle w:val="NormalWeb"/>
        <w:spacing w:before="0" w:beforeAutospacing="0"/>
        <w:ind w:firstLine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Garantía por adelantos.</w:t>
      </w:r>
    </w:p>
    <w:p w14:paraId="5B50C8AF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lastRenderedPageBreak/>
        <w:t>Opinión Nº 009-2020/DTN: Requisitos de las garantías. </w:t>
      </w:r>
    </w:p>
    <w:p w14:paraId="452FC8C0" w14:textId="77777777" w:rsidR="005B7792" w:rsidRPr="00444F5F" w:rsidRDefault="00D51745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5B7792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https://portal.osce.gob.pe/osce/sites/default/files/Documentos/legislacion/Legislacion%20y%20Documentos%20Elaborados%20por%20el%20OSCE/Opiniones_2020/009-20%20-%20%20PROV%C3%8DAS%20DESCENTRALIZADO%20-%20Exp.%20115794%20%28T.D.%2016128574%29.docx</w:t>
        </w:r>
      </w:hyperlink>
      <w:r w:rsidR="005B7792" w:rsidRPr="00444F5F">
        <w:rPr>
          <w:rFonts w:asciiTheme="minorHAnsi" w:hAnsiTheme="minorHAnsi" w:cstheme="minorHAnsi"/>
          <w:sz w:val="22"/>
          <w:szCs w:val="22"/>
        </w:rPr>
        <w:br/>
      </w:r>
    </w:p>
    <w:p w14:paraId="55354C29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019-2020/DTN: Garantías (clasificadoras de riesgo)</w:t>
      </w:r>
    </w:p>
    <w:p w14:paraId="78B795A3" w14:textId="77777777" w:rsidR="005B7792" w:rsidRPr="00444F5F" w:rsidRDefault="00D51745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5B7792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2020/019-2020%20-%20TD.%2016293148-%20Exp.%201242-%20C%C3%A1mara%20Peruana%20de%20la%20Construcci%C3%B3n%20-%20Garant%C3%ADas.%20VF.docx</w:t>
        </w:r>
      </w:hyperlink>
    </w:p>
    <w:p w14:paraId="35F478C4" w14:textId="77777777" w:rsidR="005B7792" w:rsidRPr="00444F5F" w:rsidRDefault="005B7792" w:rsidP="005B7792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</w:p>
    <w:p w14:paraId="7EC9B611" w14:textId="77777777" w:rsidR="00BF14B8" w:rsidRPr="00444F5F" w:rsidRDefault="00BF14B8" w:rsidP="00444F5F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Contrato de consorcio.</w:t>
      </w:r>
    </w:p>
    <w:p w14:paraId="1B5A933A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Directiva N° 005-2019-OSCE/CD Participación de proveedores en consorcio en las contrataciones del Estado, aprobada mediante Resolución N° 017-2019-OSCE/PRE.</w:t>
      </w:r>
    </w:p>
    <w:p w14:paraId="7CCEE505" w14:textId="77777777" w:rsidR="004B34D5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4B34D5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https://portal.osce.gob.pe/osce/sites/default/files/Documentos/legislacion/Legislacion%20y%20Documentos%20Elaborados%20por%20el%20OSCE/Directivas_2019/DIRECTIVA_05-2019-OSCE.CD_Consorcios.pdf</w:t>
        </w:r>
      </w:hyperlink>
    </w:p>
    <w:p w14:paraId="2834DF90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026-2020/DTN: modificación al contrato de consorcio. </w:t>
      </w:r>
    </w:p>
    <w:p w14:paraId="0F715CC6" w14:textId="77777777" w:rsidR="00BF14B8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https://portal.osce.gob.pe/osce/sites/default/files/Documentos/legislacion/Legislacion%20y%20Documentos%20Elaborados%20por%20el%20OSCE/Opiniones_2020/026-20%20-%20EXP%2010083%20DR%20PER%C3%9A%20SAC%20consorcios.doc</w:t>
        </w:r>
      </w:hyperlink>
    </w:p>
    <w:p w14:paraId="0B00DA05" w14:textId="77777777" w:rsidR="00BF14B8" w:rsidRPr="00444F5F" w:rsidRDefault="00BF14B8" w:rsidP="005B7792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Plazos y procedimientos para el perfeccionamiento del contrato.</w:t>
      </w:r>
    </w:p>
    <w:p w14:paraId="3AB8AD3C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 xml:space="preserve">Opinión Nº 227-2017/DTN: Procedimiento y plazos para la suscripción del contrato. (Referencial por tratarse de una opinión emitida en base a la norma anterior; sin embargo, el criterio se </w:t>
      </w:r>
      <w:r w:rsidR="004B34D5" w:rsidRPr="00444F5F">
        <w:rPr>
          <w:rFonts w:asciiTheme="minorHAnsi" w:hAnsiTheme="minorHAnsi" w:cstheme="minorHAnsi"/>
          <w:sz w:val="22"/>
          <w:szCs w:val="22"/>
        </w:rPr>
        <w:t>m</w:t>
      </w:r>
      <w:r w:rsidRPr="00444F5F">
        <w:rPr>
          <w:rFonts w:asciiTheme="minorHAnsi" w:hAnsiTheme="minorHAnsi" w:cstheme="minorHAnsi"/>
          <w:sz w:val="22"/>
          <w:szCs w:val="22"/>
        </w:rPr>
        <w:t>antiene)</w:t>
      </w:r>
    </w:p>
    <w:p w14:paraId="59DAB235" w14:textId="77777777" w:rsidR="004B34D5" w:rsidRPr="00444F5F" w:rsidRDefault="00D51745" w:rsidP="004B34D5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https://portal.osce.gob.pe/osce/sites/default/files/Documentos/legislacion/Legislacion%20y%20Documentos%20Elaborados%20por%20el%20OSCE/Opiniones_2017/227-17%20-%20AG.COMPRAS%20FFAA-PROCED.PLAZOS%20SUSCRIP.CONTRATO.docx</w:t>
        </w:r>
      </w:hyperlink>
    </w:p>
    <w:p w14:paraId="35F38C2C" w14:textId="77777777" w:rsidR="00BF14B8" w:rsidRPr="00444F5F" w:rsidRDefault="00BF14B8" w:rsidP="005B7792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Plazo de ejecución contractual. Cómputo de plazos. Vigencia del contrato.</w:t>
      </w:r>
    </w:p>
    <w:p w14:paraId="5B55438F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 xml:space="preserve">Opinión Nº 192-2019/DTN: declaración de nulidad de contrato </w:t>
      </w:r>
      <w:r w:rsidR="004B34D5" w:rsidRPr="00444F5F">
        <w:rPr>
          <w:rFonts w:asciiTheme="minorHAnsi" w:hAnsiTheme="minorHAnsi" w:cstheme="minorHAnsi"/>
          <w:sz w:val="22"/>
          <w:szCs w:val="22"/>
        </w:rPr>
        <w:t>(</w:t>
      </w:r>
      <w:r w:rsidRPr="00444F5F">
        <w:rPr>
          <w:rFonts w:asciiTheme="minorHAnsi" w:hAnsiTheme="minorHAnsi" w:cstheme="minorHAnsi"/>
          <w:sz w:val="22"/>
          <w:szCs w:val="22"/>
        </w:rPr>
        <w:t>causales). </w:t>
      </w:r>
    </w:p>
    <w:p w14:paraId="710D9B0A" w14:textId="77777777" w:rsidR="004B34D5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7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https://portal.osce.gob.pe/osce/sites/default/files/Documentos/legislacion/Legislacion%20y%20Documentos%20Elaborados%20por%20el%20OSCE/Opiniones_2019/192-2019-%20TD.%2015634233%20GOB%20REG%20MOQUEGUA.docx</w:t>
        </w:r>
      </w:hyperlink>
      <w:r w:rsidR="00BF14B8" w:rsidRPr="00444F5F">
        <w:rPr>
          <w:rFonts w:asciiTheme="minorHAnsi" w:hAnsiTheme="minorHAnsi" w:cstheme="minorHAnsi"/>
          <w:sz w:val="22"/>
          <w:szCs w:val="22"/>
        </w:rPr>
        <w:br/>
      </w:r>
    </w:p>
    <w:p w14:paraId="3201C386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lastRenderedPageBreak/>
        <w:t>Opinión Nº 053-2019/DTN: prestaciones pendientes de ejecución (por resolución o nulidad del contrato). </w:t>
      </w:r>
    </w:p>
    <w:p w14:paraId="08B6ACF2" w14:textId="77777777" w:rsidR="004B34D5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https://portal.osce.gob.pe/osce/sites/default/files/Documentos/legislacion/Legislacion%20y%20Documentos%20Elaborados%20por%20el%20OSCE/Opiniones_2019/053-19%20-%20PRONIED%20-%20TD.%2014413181%20-%20PREST.PEND.EJEC..docx</w:t>
        </w:r>
      </w:hyperlink>
      <w:r w:rsidR="00BF14B8" w:rsidRPr="00444F5F">
        <w:rPr>
          <w:rFonts w:asciiTheme="minorHAnsi" w:hAnsiTheme="minorHAnsi" w:cstheme="minorHAnsi"/>
          <w:sz w:val="22"/>
          <w:szCs w:val="22"/>
        </w:rPr>
        <w:br/>
      </w:r>
    </w:p>
    <w:p w14:paraId="63157B68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119-2019/DTN: prestaciones pendientes en caso de resolución de contrato o declaratoria de nulidad de contrato. </w:t>
      </w:r>
    </w:p>
    <w:p w14:paraId="4A2C2729" w14:textId="77777777" w:rsidR="004B34D5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https://portal.osce.gob.pe/osce/sites/default/files/Documentos/legislacion/Legislacion%20y%20Documentos%20Elaborados%20por%20el%20OSCE/Opiniones_2019/119-19%20-%20FONDEPES%20-%20TD.%2015070850%20-%20OF.%2088.docx</w:t>
        </w:r>
      </w:hyperlink>
    </w:p>
    <w:p w14:paraId="1AE73CB1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118-2019/DTN: definición de “urgente” en el marco del literal l) del artículo 27 de la Ley de Contrataciones del Estado. </w:t>
      </w:r>
    </w:p>
    <w:p w14:paraId="34102240" w14:textId="77777777" w:rsidR="004B34D5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https://portal.osce.gob.pe/osce/sites/default/files/Documentos/legislacion/Legislacion%20y%20Documentos%20Elaborados%20por%20el%20OSCE/Opiniones_2019/118-19%20-%20TD.%2015080839%20-%20FONDEPES.docx</w:t>
        </w:r>
      </w:hyperlink>
      <w:r w:rsidR="00BF14B8" w:rsidRPr="00444F5F">
        <w:rPr>
          <w:rFonts w:asciiTheme="minorHAnsi" w:hAnsiTheme="minorHAnsi" w:cstheme="minorHAnsi"/>
          <w:sz w:val="22"/>
          <w:szCs w:val="22"/>
        </w:rPr>
        <w:br/>
      </w:r>
    </w:p>
    <w:p w14:paraId="69FEC3D2" w14:textId="77777777" w:rsidR="004B34D5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 xml:space="preserve">Opinión Nº 024-2020/DTN: corresponde emplear el procedimiento previsto en el artículo 167 del Reglamento antes de recurrir a la figura prevista en el literal l) del artículo 27 de la </w:t>
      </w:r>
      <w:r w:rsidR="004B34D5" w:rsidRPr="00444F5F">
        <w:rPr>
          <w:rFonts w:asciiTheme="minorHAnsi" w:hAnsiTheme="minorHAnsi" w:cstheme="minorHAnsi"/>
          <w:sz w:val="22"/>
          <w:szCs w:val="22"/>
        </w:rPr>
        <w:t>L</w:t>
      </w:r>
      <w:r w:rsidRPr="00444F5F">
        <w:rPr>
          <w:rFonts w:asciiTheme="minorHAnsi" w:hAnsiTheme="minorHAnsi" w:cstheme="minorHAnsi"/>
          <w:sz w:val="22"/>
          <w:szCs w:val="22"/>
        </w:rPr>
        <w:t>ey. </w:t>
      </w:r>
    </w:p>
    <w:p w14:paraId="6DAB2F92" w14:textId="77777777" w:rsidR="00BF14B8" w:rsidRPr="00444F5F" w:rsidRDefault="00D51745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21" w:history="1">
        <w:r w:rsidR="00BF14B8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https://portal.osce.gob.pe/osce/sites/default/files/Documentos/legislacion/Legislacion%20y%20Documentos%20Elaborados%20por%20el%20OSCE/Opiniones_2020/024-20%20-%20EXP%207438%20EMILIMA%20prestaciones%20pendientes.doc</w:t>
        </w:r>
      </w:hyperlink>
    </w:p>
    <w:p w14:paraId="5B4CDD89" w14:textId="77777777" w:rsidR="00444F5F" w:rsidRPr="00444F5F" w:rsidRDefault="00444F5F" w:rsidP="00444F5F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Prestaciones adicionales</w:t>
      </w:r>
    </w:p>
    <w:p w14:paraId="2EDBC762" w14:textId="77777777" w:rsidR="00DA1BAC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015-2020/DTN: prestaciones adicionales en bienes y servicios.</w:t>
      </w:r>
    </w:p>
    <w:p w14:paraId="407CC2AF" w14:textId="77777777" w:rsidR="00BF14B8" w:rsidRPr="00444F5F" w:rsidRDefault="00DA1BAC" w:rsidP="00DA1BAC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https://www.gob.pe/institucion/osce/informes-publicaciones/454802-opinion-n-015-2020-dtn</w:t>
      </w:r>
    </w:p>
    <w:p w14:paraId="0D458360" w14:textId="77777777" w:rsidR="00BF14B8" w:rsidRPr="00444F5F" w:rsidRDefault="00BF14B8" w:rsidP="00444F5F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A</w:t>
      </w:r>
      <w:r w:rsidR="00444F5F">
        <w:rPr>
          <w:rFonts w:asciiTheme="minorHAnsi" w:hAnsiTheme="minorHAnsi" w:cstheme="minorHAnsi"/>
          <w:b/>
          <w:sz w:val="22"/>
          <w:szCs w:val="22"/>
        </w:rPr>
        <w:t>mpliación del plazo contractual</w:t>
      </w:r>
    </w:p>
    <w:p w14:paraId="3ECDBE82" w14:textId="77777777" w:rsidR="00DA1BAC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 xml:space="preserve">Opinión Nº 226-2019/DTN: cesión de posición contractual. </w:t>
      </w:r>
    </w:p>
    <w:p w14:paraId="761269C0" w14:textId="77777777" w:rsidR="00BF14B8" w:rsidRPr="00444F5F" w:rsidRDefault="00D51745" w:rsidP="00DA1BAC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hyperlink r:id="rId22" w:history="1">
        <w:r w:rsidR="00DA1BAC" w:rsidRPr="00444F5F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https://www.gob.pe/institucion/osce/informes-publicaciones/429465-opinion-n-226-2019-dtn</w:t>
        </w:r>
      </w:hyperlink>
    </w:p>
    <w:p w14:paraId="3B6FD380" w14:textId="77777777" w:rsidR="00DA1BAC" w:rsidRPr="00444F5F" w:rsidRDefault="00DA1BAC" w:rsidP="00DA1BAC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</w:p>
    <w:p w14:paraId="4C11ACF1" w14:textId="77777777" w:rsidR="00BF14B8" w:rsidRPr="00444F5F" w:rsidRDefault="00BF14B8" w:rsidP="00444F5F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sz w:val="22"/>
          <w:szCs w:val="22"/>
        </w:rPr>
      </w:pPr>
      <w:r w:rsidRPr="00444F5F">
        <w:rPr>
          <w:rFonts w:asciiTheme="minorHAnsi" w:hAnsiTheme="minorHAnsi" w:cstheme="minorHAnsi"/>
          <w:b/>
          <w:sz w:val="22"/>
          <w:szCs w:val="22"/>
        </w:rPr>
        <w:t>O</w:t>
      </w:r>
      <w:r w:rsidR="00444F5F">
        <w:rPr>
          <w:rFonts w:asciiTheme="minorHAnsi" w:hAnsiTheme="minorHAnsi" w:cstheme="minorHAnsi"/>
          <w:b/>
          <w:sz w:val="22"/>
          <w:szCs w:val="22"/>
        </w:rPr>
        <w:t>tras modificaciones al contrato</w:t>
      </w:r>
    </w:p>
    <w:p w14:paraId="5D24726A" w14:textId="77777777" w:rsidR="00DA1BAC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147-2019/DTN: el titular de la entidad puede delegar su facultad de aprobar otras modificaciones al contrato, incluso cuando estas impliquen incremento del precio</w:t>
      </w:r>
    </w:p>
    <w:p w14:paraId="5A4636AE" w14:textId="77777777" w:rsidR="00DA1BAC" w:rsidRPr="00444F5F" w:rsidRDefault="00DA1BAC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lastRenderedPageBreak/>
        <w:t>https://www.gob.pe/institucion/osce/informes-publicaciones/323021-opinion-n-147-2019-dtn</w:t>
      </w:r>
    </w:p>
    <w:p w14:paraId="52AC99CF" w14:textId="77777777" w:rsidR="00BF14B8" w:rsidRPr="00444F5F" w:rsidRDefault="00BF14B8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Opinión Nº 169-2019/DTN: modificaciones al contrato. Referencial (en una opinión emitida en base a la norma anterior; pero su contenido es importante)</w:t>
      </w:r>
    </w:p>
    <w:p w14:paraId="429589EB" w14:textId="77777777" w:rsidR="00DA1BAC" w:rsidRPr="00444F5F" w:rsidRDefault="00DA1BAC" w:rsidP="00BF14B8">
      <w:pPr>
        <w:pStyle w:val="NormalWeb"/>
        <w:spacing w:before="0" w:beforeAutospacing="0"/>
        <w:ind w:left="450"/>
        <w:rPr>
          <w:rFonts w:asciiTheme="minorHAnsi" w:hAnsiTheme="minorHAnsi" w:cstheme="minorHAnsi"/>
          <w:sz w:val="22"/>
          <w:szCs w:val="22"/>
        </w:rPr>
      </w:pPr>
      <w:r w:rsidRPr="00444F5F">
        <w:rPr>
          <w:rFonts w:asciiTheme="minorHAnsi" w:hAnsiTheme="minorHAnsi" w:cstheme="minorHAnsi"/>
          <w:sz w:val="22"/>
          <w:szCs w:val="22"/>
        </w:rPr>
        <w:t>https://www.gob.pe/institucion/osce/informes-publicaciones/323029-opinion-n-169-019-dtn</w:t>
      </w:r>
    </w:p>
    <w:sectPr w:rsidR="00DA1BAC" w:rsidRPr="0044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E540E"/>
    <w:multiLevelType w:val="hybridMultilevel"/>
    <w:tmpl w:val="0C00964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884CF8"/>
    <w:multiLevelType w:val="hybridMultilevel"/>
    <w:tmpl w:val="FE42E69A"/>
    <w:lvl w:ilvl="0" w:tplc="D41CE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B8"/>
    <w:rsid w:val="00444F5F"/>
    <w:rsid w:val="004B34D5"/>
    <w:rsid w:val="004D009F"/>
    <w:rsid w:val="005A3D92"/>
    <w:rsid w:val="005B7792"/>
    <w:rsid w:val="00945D65"/>
    <w:rsid w:val="00BF14B8"/>
    <w:rsid w:val="00D51745"/>
    <w:rsid w:val="00D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ED2CE"/>
  <w15:chartTrackingRefBased/>
  <w15:docId w15:val="{9518B078-248C-4EB3-B9C0-BA74E2F9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BF14B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F1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s.gob.pe/supervisados-y-registros/empresas-supervisadas/informacion-sobre-supervisadas/sistema-financiero-supervisadas/relacion-de-empresas-que-se-encuentran-autorizadas-a-emitir-cartas-fianza" TargetMode="External"/><Relationship Id="rId13" Type="http://schemas.openxmlformats.org/officeDocument/2006/relationships/hyperlink" Target="https://portal.osce.gob.pe/osce/sites/default/files/Documentos/legislacion/Legislacion%20y%20Documentos%20Elaborados%20por%20el%20OSCE/Opiniones_2020/019-2020%20-%20TD.%2016293148-%20Exp.%201242-%20C%C3%A1mara%20Peruana%20de%20la%20Construcci%C3%B3n%20-%20Garant%C3%ADas.%20VF.docx" TargetMode="External"/><Relationship Id="rId18" Type="http://schemas.openxmlformats.org/officeDocument/2006/relationships/hyperlink" Target="https://portal.osce.gob.pe/osce/sites/default/files/Documentos/legislacion/Legislacion%20y%20Documentos%20Elaborados%20por%20el%20OSCE/Opiniones_2019/053-19%20-%20PRONIED%20-%20TD.%2014413181%20-%20PREST.PEND.EJEC.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osce.gob.pe/osce/sites/default/files/Documentos/legislacion/Legislacion%20y%20Documentos%20Elaborados%20por%20el%20OSCE/Opiniones_2020/024-20%20-%20EXP%207438%20EMILIMA%20prestaciones%20pendientes.doc" TargetMode="External"/><Relationship Id="rId7" Type="http://schemas.openxmlformats.org/officeDocument/2006/relationships/hyperlink" Target="https://www.sbs.gob.pe/supervisados-y-registros/registros/otros-registros/empresas-clasificadoras-de-riesgo" TargetMode="External"/><Relationship Id="rId12" Type="http://schemas.openxmlformats.org/officeDocument/2006/relationships/hyperlink" Target="https://portal.osce.gob.pe/osce/sites/default/files/Documentos/legislacion/Legislacion%20y%20Documentos%20Elaborados%20por%20el%20OSCE/Opiniones_2020/009-20%20-%20%20PROV%C3%8DAS%20DESCENTRALIZADO%20-%20Exp.%20115794%20%28T.D.%2016128574%29.docx" TargetMode="External"/><Relationship Id="rId17" Type="http://schemas.openxmlformats.org/officeDocument/2006/relationships/hyperlink" Target="https://portal.osce.gob.pe/osce/sites/default/files/Documentos/legislacion/Legislacion%20y%20Documentos%20Elaborados%20por%20el%20OSCE/Opiniones_2019/192-2019-%20TD.%2015634233%20GOB%20REG%20MOQUEGU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osce.gob.pe/osce/sites/default/files/Documentos/legislacion/Legislacion%20y%20Documentos%20Elaborados%20por%20el%20OSCE/Opiniones_2017/227-17%20-%20AG.COMPRAS%20FFAA-PROCED.PLAZOS%20SUSCRIP.CONTRATO.docx" TargetMode="External"/><Relationship Id="rId20" Type="http://schemas.openxmlformats.org/officeDocument/2006/relationships/hyperlink" Target="https://portal.osce.gob.pe/osce/sites/default/files/Documentos/legislacion/Legislacion%20y%20Documentos%20Elaborados%20por%20el%20OSCE/Opiniones_2019/118-19%20-%20TD.%2015080839%20-%20FONDEPES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rtal.osce.gob.pe/osce/content/ley-de-contrataciones-del-estado-y-reglamento" TargetMode="External"/><Relationship Id="rId11" Type="http://schemas.openxmlformats.org/officeDocument/2006/relationships/hyperlink" Target="https://portal.osce.gob.pe/osce/sites/default/files/Documentos/legislacion/Legislacion%20y%20Documentos%20Elaborados%20por%20el%20OSCE/Opiniones_2020/021-20%20-%20Exp.%205381%20TD%20%20-%20Ej%C3%A9rcito%20del%20Per%C3%BA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ortal.osce.gob.pe/osce/content/ley-de-contrataciones-del-estado-y-reglamento" TargetMode="External"/><Relationship Id="rId15" Type="http://schemas.openxmlformats.org/officeDocument/2006/relationships/hyperlink" Target="https://portal.osce.gob.pe/osce/sites/default/files/Documentos/legislacion/Legislacion%20y%20Documentos%20Elaborados%20por%20el%20OSCE/Opiniones_2020/026-20%20-%20EXP%2010083%20DR%20PER%C3%9A%20SAC%20consorcios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osce.gob.pe/osce/sites/default/files/Documentos/legislacion/Legislacion%20y%20Documentos%20Elaborados%20por%20el%20OSCE/Directivas_2019/DIRECTIVA_03-2019-OSCE.CD_Garantia%20Prestaciones%20Accesorias.pdf" TargetMode="External"/><Relationship Id="rId19" Type="http://schemas.openxmlformats.org/officeDocument/2006/relationships/hyperlink" Target="https://portal.osce.gob.pe/osce/sites/default/files/Documentos/legislacion/Legislacion%20y%20Documentos%20Elaborados%20por%20el%20OSCE/Opiniones_2019/119-19%20-%20FONDEPES%20-%20TD.%2015070850%20-%20OF.%208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rp.gob.pe/docs/Transparencia/Normas-Legales/Circulares/2020/circular-0013-2020-bcrp.pdf" TargetMode="External"/><Relationship Id="rId14" Type="http://schemas.openxmlformats.org/officeDocument/2006/relationships/hyperlink" Target="https://portal.osce.gob.pe/osce/sites/default/files/Documentos/legislacion/Legislacion%20y%20Documentos%20Elaborados%20por%20el%20OSCE/Directivas_2019/DIRECTIVA_05-2019-OSCE.CD_Consorcios.pdf" TargetMode="External"/><Relationship Id="rId22" Type="http://schemas.openxmlformats.org/officeDocument/2006/relationships/hyperlink" Target="https://www.gob.pe/institucion/osce/informes-publicaciones/429465-opinion-n-226-2019-dt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Ruiz</cp:lastModifiedBy>
  <cp:revision>2</cp:revision>
  <dcterms:created xsi:type="dcterms:W3CDTF">2020-09-30T19:34:00Z</dcterms:created>
  <dcterms:modified xsi:type="dcterms:W3CDTF">2020-09-30T19:34:00Z</dcterms:modified>
</cp:coreProperties>
</file>